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36" w:rsidRDefault="00660536" w:rsidP="00660536">
      <w:pPr>
        <w:pStyle w:val="ConsPlusTitle"/>
        <w:jc w:val="center"/>
        <w:outlineLvl w:val="1"/>
      </w:pPr>
      <w:r>
        <w:t>Целевые значения критериев доступности и качества</w:t>
      </w:r>
    </w:p>
    <w:p w:rsidR="00660536" w:rsidRDefault="00660536" w:rsidP="00660536">
      <w:pPr>
        <w:pStyle w:val="ConsPlusTitle"/>
        <w:jc w:val="center"/>
      </w:pPr>
      <w:r>
        <w:t xml:space="preserve">медицинской помощи, оказываемой в рамках </w:t>
      </w:r>
      <w:r w:rsidRPr="00660536">
        <w:t xml:space="preserve">Территориальной программы государственных гарантий бесплатного оказания гражданам медицинской помощи в Новосибирской области на </w:t>
      </w:r>
      <w:r>
        <w:t>2025</w:t>
      </w:r>
      <w:r w:rsidRPr="00660536">
        <w:t xml:space="preserve"> год и на пла</w:t>
      </w:r>
      <w:r>
        <w:t>новый период 2026 и 2027</w:t>
      </w:r>
      <w:r w:rsidRPr="00660536">
        <w:t xml:space="preserve"> годов</w:t>
      </w:r>
    </w:p>
    <w:p w:rsidR="00660536" w:rsidRDefault="00660536" w:rsidP="00660536">
      <w:pPr>
        <w:pStyle w:val="ConsPlusNormal"/>
        <w:ind w:firstLine="540"/>
        <w:jc w:val="both"/>
      </w:pPr>
    </w:p>
    <w:p w:rsidR="00660536" w:rsidRDefault="00660536" w:rsidP="00660536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1) удовлетворенность населения доступностью медицинской помощи (процентов числа опрошенных) - 74,5%, в том числе городского (процентов числа опрошенных) - 67,4%, сельского населения (процентов числа опрошенных) - 74,0%;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2)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- 83%;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3) число пациентов, зарегистрированных на территории Новосибирской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соглашения, - 0 детей;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4) доля расходов на оказание медицинской помощи в условиях дневных стационаров в общих расходах на Программу - 7,8%;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5) доля расходов на оказание медицинской помощи в амбулаторных условиях в неотложной форме в общих расходах на Программу - 1,8%;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6) 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страхования, - 5%;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7) число пациентов, которым оказана паллиативная медицинская помощь по месту их фактического пребывания за пределами Новосибирской области, на территории которой указанные пациенты зарегистрированы по месту жительства, - 0 человек;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8) 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заболеваниями, - 82%;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9) доля граждан, обеспеченных лекарственными препаратами, в общем количестве льготных категорий граждан - 99%;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10) 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наблюдения, - 95%;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11) 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 - 85%.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Критериями качества медицинской помощи являются: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1) 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- 2,8%;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2)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- 2,5%;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3) 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- 8%;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4) 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- 96,9%;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5) 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- 65%;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 xml:space="preserve">6) доля пациентов с острым инфарктом миокарда, которым проведено </w:t>
      </w:r>
      <w:proofErr w:type="spellStart"/>
      <w:r>
        <w:t>стентирование</w:t>
      </w:r>
      <w:proofErr w:type="spellEnd"/>
      <w:r>
        <w:t xml:space="preserve"> коронарных артерий, в общем количестве пациентов с острым инфарктом миокарда, имеющих показания к его проведению, - 60%;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 xml:space="preserve">7) 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>
        <w:t>тромболизис</w:t>
      </w:r>
      <w:proofErr w:type="spellEnd"/>
      <w:r>
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помощи, - не более 12%;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 xml:space="preserve">8) доля пациентов с острым инфарктом миокарда, которым проведена </w:t>
      </w:r>
      <w:proofErr w:type="spellStart"/>
      <w:r>
        <w:t>тромболитическая</w:t>
      </w:r>
      <w:proofErr w:type="spellEnd"/>
      <w:r>
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проведению, - 25%;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9) 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болезнями, - 40%;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 xml:space="preserve">10) 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заболевания, - 7%;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 xml:space="preserve">11) 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- 7%;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12) 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помощи, - 98%;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13) 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Программы, - 474;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14) 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 - 0,2%;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15) охват диспансерным наблюдением граждан, состоящих на учете в медицинской организации с диагнозом "бронхиальная астма", - 98% в год;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 xml:space="preserve">16) охват диспансерным наблюдением граждан, состоящих на учете в медицинской организации с диагнозом "хроническая </w:t>
      </w:r>
      <w:proofErr w:type="spellStart"/>
      <w:r>
        <w:t>обструктивная</w:t>
      </w:r>
      <w:proofErr w:type="spellEnd"/>
      <w:r>
        <w:t xml:space="preserve"> болезнь легких" - 80%;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17) доля пациентов с диагнозом "хроническая сердечная недостаточность", находящихся под диспансерным наблюдением, получающих лекарственное обеспечение - 30%;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18) охват диспансерным наблюдением граждан, состоящих на учете в медицинской организации с диагнозом "гипертоническая болезнь" - 35% в год;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19) охват диспансерным наблюдением граждан, состоящих на учете в медицинской организации с диагнозом "сахарный диабет", - 70,3% в год;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20) количество пациентов с гепатитом C, получивших противовирусную терапию, на 100 тыс. населения в год - 16,5;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21) 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 - 75%;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22) доля пациентов, получающих лечебное (</w:t>
      </w:r>
      <w:proofErr w:type="spellStart"/>
      <w:r>
        <w:t>энтеральное</w:t>
      </w:r>
      <w:proofErr w:type="spellEnd"/>
      <w: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>
        <w:t>энтеральном</w:t>
      </w:r>
      <w:proofErr w:type="spellEnd"/>
      <w:r>
        <w:t>) питании при оказании паллиативной медицинской помощи - 70%;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23) доля лиц репродуктивного возраста, прошедших диспансеризацию для оценки репродуктивного здоровья (отдельно по мужчинам и женщинам) - 32%;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24) 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 - 100%;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25) число циклов экстракорпорального оплодотворения, выполняемых медицинской организацией, в течение одного года - 100 и более случаев;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26) доля случаев экстракорпорального оплодотворения, по результатам которого у женщины наступила беременность - 17%;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27) 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 - 10%;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28) доля ветеранов боевых действий, получивших паллиативную медицинскую помощь и (или) лечебное (</w:t>
      </w:r>
      <w:proofErr w:type="spellStart"/>
      <w:r>
        <w:t>энтеральное</w:t>
      </w:r>
      <w:proofErr w:type="spellEnd"/>
      <w:r>
        <w:t>) питание, из числа нуждающихся - 100%;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29) 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 - 25%;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 xml:space="preserve">30) доля лиц старше 65 лет, которым проведена </w:t>
      </w:r>
      <w:proofErr w:type="spellStart"/>
      <w:r>
        <w:t>противопневмококковая</w:t>
      </w:r>
      <w:proofErr w:type="spellEnd"/>
      <w:r>
        <w:t xml:space="preserve"> вакцинация (13-валентной и/или 23-валентной вакциной) - 10%.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Кроме того,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Критериями доступности медицинской помощи, оказываемой медицинскими организациями, подведомственными федеральным органам исполнительной власти, являются: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>
        <w:t>затратоемкости</w:t>
      </w:r>
      <w:proofErr w:type="spellEnd"/>
      <w:r>
        <w:t>, равным 2 и более, в общем объеме средств, направленных на оказание оказанной специализированной, в том числе высокотехнологичной, медицинской помощи (для образовательных организаций высшего образования, осуществляющих оказание медицинской помощи в 2025 - 2027 годах не менее 70%, для остальных федеральных медицинских организаций в 2025 году - не менее 80%, в 2026 - 2027 годах - не менее 85%).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региональных проектах национальных проектов "Здравоохранение" и "Демография".</w:t>
      </w:r>
    </w:p>
    <w:p w:rsidR="00660536" w:rsidRDefault="00660536" w:rsidP="00660536">
      <w:pPr>
        <w:pStyle w:val="ConsPlusNormal"/>
        <w:spacing w:before="220"/>
        <w:ind w:firstLine="540"/>
        <w:jc w:val="both"/>
      </w:pPr>
      <w:r>
        <w:t>Оценка достижения критериев доступности и качества медицинской помощи осуществляется министерством здравоохранения Новосибирской области один раз в полгода с направлением соответствующих данных в Министерство здравоохранения Российской Федерации.</w:t>
      </w:r>
    </w:p>
    <w:p w:rsidR="0039241B" w:rsidRDefault="0039241B"/>
    <w:sectPr w:rsidR="003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36"/>
    <w:rsid w:val="0039241B"/>
    <w:rsid w:val="00660536"/>
    <w:rsid w:val="008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0C7F"/>
  <w15:chartTrackingRefBased/>
  <w15:docId w15:val="{719000BB-F0CC-4CDC-8D78-287A2459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5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05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Наталья Борисовна</dc:creator>
  <cp:keywords/>
  <dc:description/>
  <cp:lastModifiedBy>Беляева Наталья Борисовна</cp:lastModifiedBy>
  <cp:revision>1</cp:revision>
  <dcterms:created xsi:type="dcterms:W3CDTF">2025-05-13T06:34:00Z</dcterms:created>
  <dcterms:modified xsi:type="dcterms:W3CDTF">2025-05-13T06:35:00Z</dcterms:modified>
</cp:coreProperties>
</file>